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EA86" w14:textId="77777777" w:rsidR="00125909" w:rsidRPr="004A3F58" w:rsidRDefault="004A3F58" w:rsidP="00125909">
      <w:pPr>
        <w:jc w:val="center"/>
        <w:rPr>
          <w:b/>
          <w:bCs/>
          <w:color w:val="0070C0"/>
          <w:sz w:val="28"/>
          <w:szCs w:val="28"/>
          <w:lang w:val="en-US"/>
        </w:rPr>
      </w:pPr>
      <w:r w:rsidRPr="00D4260C">
        <w:rPr>
          <w:b/>
          <w:bCs/>
          <w:color w:val="0070C0"/>
          <w:sz w:val="28"/>
          <w:szCs w:val="28"/>
          <w:lang w:val="en-US"/>
        </w:rPr>
        <w:t xml:space="preserve">The reform of </w:t>
      </w:r>
      <w:proofErr w:type="gramStart"/>
      <w:r w:rsidRPr="00D4260C">
        <w:rPr>
          <w:b/>
          <w:bCs/>
          <w:color w:val="0070C0"/>
          <w:sz w:val="28"/>
          <w:szCs w:val="28"/>
          <w:lang w:val="en-US"/>
        </w:rPr>
        <w:t xml:space="preserve">the </w:t>
      </w:r>
      <w:r w:rsidR="00E911FB" w:rsidRPr="00D4260C">
        <w:rPr>
          <w:b/>
          <w:bCs/>
          <w:color w:val="0070C0"/>
          <w:sz w:val="28"/>
          <w:szCs w:val="28"/>
          <w:lang w:val="en-US"/>
        </w:rPr>
        <w:t xml:space="preserve"> IBOR</w:t>
      </w:r>
      <w:proofErr w:type="gramEnd"/>
      <w:r w:rsidR="00E911FB" w:rsidRPr="00D4260C">
        <w:rPr>
          <w:b/>
          <w:bCs/>
          <w:color w:val="0070C0"/>
          <w:sz w:val="28"/>
          <w:szCs w:val="28"/>
          <w:lang w:val="en-US"/>
        </w:rPr>
        <w:t xml:space="preserve"> rates</w:t>
      </w:r>
    </w:p>
    <w:p w14:paraId="5317E235" w14:textId="172D3207" w:rsidR="00125909" w:rsidRPr="00D4260C" w:rsidRDefault="00125909" w:rsidP="00125909">
      <w:pPr>
        <w:rPr>
          <w:i/>
          <w:iCs/>
          <w:szCs w:val="24"/>
        </w:rPr>
      </w:pPr>
      <w:r w:rsidRPr="00D4260C">
        <w:rPr>
          <w:i/>
          <w:iCs/>
          <w:szCs w:val="24"/>
          <w:lang w:val="en-US"/>
        </w:rPr>
        <w:tab/>
      </w:r>
      <w:r w:rsidRPr="00D4260C">
        <w:rPr>
          <w:i/>
          <w:iCs/>
          <w:szCs w:val="24"/>
          <w:lang w:val="en-US"/>
        </w:rPr>
        <w:tab/>
      </w:r>
      <w:r w:rsidRPr="00D4260C">
        <w:rPr>
          <w:i/>
          <w:iCs/>
          <w:szCs w:val="24"/>
          <w:lang w:val="en-US"/>
        </w:rPr>
        <w:tab/>
      </w:r>
      <w:r w:rsidRPr="00D4260C">
        <w:rPr>
          <w:i/>
          <w:iCs/>
          <w:szCs w:val="24"/>
          <w:lang w:val="en-US"/>
        </w:rPr>
        <w:tab/>
      </w:r>
      <w:proofErr w:type="spellStart"/>
      <w:proofErr w:type="gramStart"/>
      <w:r w:rsidRPr="00CD4DCA">
        <w:rPr>
          <w:szCs w:val="24"/>
        </w:rPr>
        <w:t>Author</w:t>
      </w:r>
      <w:proofErr w:type="spellEnd"/>
      <w:r w:rsidRPr="00CD4DCA">
        <w:rPr>
          <w:szCs w:val="24"/>
        </w:rPr>
        <w:t>:</w:t>
      </w:r>
      <w:proofErr w:type="gramEnd"/>
      <w:r w:rsidRPr="00CD4DCA">
        <w:rPr>
          <w:szCs w:val="24"/>
        </w:rPr>
        <w:t xml:space="preserve"> </w:t>
      </w:r>
      <w:r w:rsidR="00D4260C">
        <w:rPr>
          <w:rFonts w:eastAsia="Times New Roman"/>
          <w:color w:val="000000"/>
          <w:szCs w:val="24"/>
          <w:lang w:eastAsia="fr-FR"/>
        </w:rPr>
        <w:t xml:space="preserve">Jean-Michel </w:t>
      </w:r>
      <w:proofErr w:type="spellStart"/>
      <w:r w:rsidR="00D4260C">
        <w:rPr>
          <w:rFonts w:eastAsia="Times New Roman"/>
          <w:color w:val="000000"/>
          <w:szCs w:val="24"/>
          <w:lang w:eastAsia="fr-FR"/>
        </w:rPr>
        <w:t>Moinade</w:t>
      </w:r>
      <w:proofErr w:type="spellEnd"/>
      <w:r w:rsidR="00D4260C">
        <w:rPr>
          <w:rFonts w:eastAsia="Times New Roman"/>
          <w:color w:val="000000"/>
          <w:szCs w:val="24"/>
          <w:lang w:eastAsia="fr-FR"/>
        </w:rPr>
        <w:t xml:space="preserve">, CEO </w:t>
      </w:r>
      <w:proofErr w:type="spellStart"/>
      <w:r w:rsidR="00D4260C">
        <w:rPr>
          <w:rFonts w:eastAsia="Times New Roman"/>
          <w:color w:val="000000"/>
          <w:szCs w:val="24"/>
          <w:lang w:eastAsia="fr-FR"/>
        </w:rPr>
        <w:t>Edaniom</w:t>
      </w:r>
      <w:proofErr w:type="spellEnd"/>
      <w:r w:rsidR="00D4260C">
        <w:rPr>
          <w:rFonts w:eastAsia="Times New Roman"/>
          <w:color w:val="000000"/>
          <w:szCs w:val="24"/>
          <w:lang w:eastAsia="fr-FR"/>
        </w:rPr>
        <w:t xml:space="preserve"> </w:t>
      </w:r>
      <w:r w:rsidR="00D4260C">
        <w:rPr>
          <w:rFonts w:eastAsia="Times New Roman"/>
          <w:color w:val="000000"/>
          <w:szCs w:val="24"/>
          <w:lang w:eastAsia="fr-FR"/>
        </w:rPr>
        <w:t>France</w:t>
      </w:r>
      <w:r w:rsidR="00D4260C">
        <w:rPr>
          <w:rFonts w:eastAsia="Times New Roman"/>
          <w:color w:val="000000"/>
          <w:szCs w:val="24"/>
          <w:lang w:eastAsia="fr-FR"/>
        </w:rPr>
        <w:t xml:space="preserve">  </w:t>
      </w:r>
    </w:p>
    <w:p w14:paraId="564DE8B0" w14:textId="77777777" w:rsidR="00125909" w:rsidRPr="00D4260C" w:rsidRDefault="00125909" w:rsidP="00125909">
      <w:pPr>
        <w:rPr>
          <w:i/>
          <w:iCs/>
          <w:szCs w:val="24"/>
        </w:rPr>
      </w:pPr>
    </w:p>
    <w:p w14:paraId="05E49530" w14:textId="77777777" w:rsidR="00125909" w:rsidRPr="00D4260C" w:rsidRDefault="00125909" w:rsidP="00125909">
      <w:pPr>
        <w:rPr>
          <w:i/>
          <w:iCs/>
          <w:szCs w:val="24"/>
        </w:rPr>
      </w:pPr>
    </w:p>
    <w:p w14:paraId="2D3BFF79" w14:textId="77777777" w:rsidR="00125909" w:rsidRPr="004A3F58" w:rsidRDefault="00125909" w:rsidP="00125909">
      <w:pPr>
        <w:rPr>
          <w:rFonts w:eastAsia="Times New Roman"/>
          <w:szCs w:val="24"/>
          <w:lang w:val="en-US"/>
        </w:rPr>
      </w:pPr>
      <w:r w:rsidRPr="00D4260C">
        <w:rPr>
          <w:szCs w:val="24"/>
          <w:lang w:val="en-US"/>
        </w:rPr>
        <w:t>The overhaul or even the abolition of the IBOR stems from a G20 approach, relayed by the Financial Stability Board (FSB) and the FSA (Financial Se</w:t>
      </w:r>
      <w:r w:rsidR="00FD5BBB" w:rsidRPr="00D4260C">
        <w:rPr>
          <w:szCs w:val="24"/>
          <w:lang w:val="en-US"/>
        </w:rPr>
        <w:t xml:space="preserve">rvices Authority) and various market or regulation </w:t>
      </w:r>
      <w:r w:rsidRPr="00D4260C">
        <w:rPr>
          <w:szCs w:val="24"/>
          <w:lang w:val="en-US"/>
        </w:rPr>
        <w:t>e</w:t>
      </w:r>
      <w:r w:rsidR="00FD5BBB" w:rsidRPr="00D4260C">
        <w:rPr>
          <w:szCs w:val="24"/>
          <w:lang w:val="en-US"/>
        </w:rPr>
        <w:t xml:space="preserve">ntities concerned by what can be qualified as an </w:t>
      </w:r>
      <w:r w:rsidRPr="00D4260C">
        <w:rPr>
          <w:szCs w:val="24"/>
          <w:lang w:val="en-US"/>
        </w:rPr>
        <w:t>earthquake. Earthquake because the outstanding</w:t>
      </w:r>
      <w:r w:rsidRPr="00D4260C">
        <w:rPr>
          <w:lang w:val="en-US"/>
        </w:rPr>
        <w:t xml:space="preserve"> </w:t>
      </w:r>
      <w:r w:rsidR="00FD5BBB" w:rsidRPr="00D4260C">
        <w:rPr>
          <w:lang w:val="en-US"/>
        </w:rPr>
        <w:t xml:space="preserve">amount of </w:t>
      </w:r>
      <w:r w:rsidRPr="00D4260C">
        <w:rPr>
          <w:lang w:val="en-US"/>
        </w:rPr>
        <w:t>"</w:t>
      </w:r>
      <w:r w:rsidRPr="00D4260C">
        <w:rPr>
          <w:szCs w:val="24"/>
          <w:lang w:val="en-US"/>
        </w:rPr>
        <w:t>Libor</w:t>
      </w:r>
      <w:r w:rsidRPr="00D4260C">
        <w:rPr>
          <w:lang w:val="en-US"/>
        </w:rPr>
        <w:t xml:space="preserve">" </w:t>
      </w:r>
      <w:r w:rsidR="00FD5BBB" w:rsidRPr="00D4260C">
        <w:rPr>
          <w:szCs w:val="24"/>
          <w:lang w:val="en-US"/>
        </w:rPr>
        <w:t xml:space="preserve">indexed transactions exceeded 2 years of world </w:t>
      </w:r>
      <w:r w:rsidRPr="00D4260C">
        <w:rPr>
          <w:szCs w:val="24"/>
          <w:lang w:val="en-US"/>
        </w:rPr>
        <w:t>GDP. Earthq</w:t>
      </w:r>
      <w:r w:rsidR="00FD5BBB" w:rsidRPr="00D4260C">
        <w:rPr>
          <w:szCs w:val="24"/>
          <w:lang w:val="en-US"/>
        </w:rPr>
        <w:t xml:space="preserve">uake the </w:t>
      </w:r>
      <w:r w:rsidRPr="00D4260C">
        <w:rPr>
          <w:szCs w:val="24"/>
          <w:lang w:val="en-US"/>
        </w:rPr>
        <w:t xml:space="preserve">epicenter </w:t>
      </w:r>
      <w:r w:rsidR="00FD5BBB" w:rsidRPr="00D4260C">
        <w:rPr>
          <w:szCs w:val="24"/>
          <w:lang w:val="en-US"/>
        </w:rPr>
        <w:t xml:space="preserve">of which </w:t>
      </w:r>
      <w:r w:rsidRPr="00D4260C">
        <w:rPr>
          <w:szCs w:val="24"/>
          <w:lang w:val="en-US"/>
        </w:rPr>
        <w:t>was fortunately far from continental Europe, because the European Monetary Union, under the impetus of the European Commission, managed to preserve the Euribor which was declared compliant with the requirements of BMR</w:t>
      </w:r>
      <w:r w:rsidR="00682BC5" w:rsidRPr="00682BC5">
        <w:rPr>
          <w:rStyle w:val="Appelnotedebasdep"/>
          <w:sz w:val="16"/>
          <w:szCs w:val="24"/>
        </w:rPr>
        <w:footnoteReference w:id="1"/>
      </w:r>
      <w:r w:rsidR="00FD5BBB" w:rsidRPr="00D4260C">
        <w:rPr>
          <w:szCs w:val="24"/>
          <w:lang w:val="en-US"/>
        </w:rPr>
        <w:t xml:space="preserve"> after it was </w:t>
      </w:r>
      <w:r w:rsidRPr="00D4260C">
        <w:rPr>
          <w:szCs w:val="24"/>
          <w:lang w:val="en-US"/>
        </w:rPr>
        <w:t>reformed</w:t>
      </w:r>
      <w:r w:rsidR="004A3F58" w:rsidRPr="00D4260C">
        <w:rPr>
          <w:szCs w:val="24"/>
          <w:lang w:val="en-US"/>
        </w:rPr>
        <w:t xml:space="preserve"> </w:t>
      </w:r>
      <w:r w:rsidR="00FD5BBB" w:rsidRPr="00D4260C">
        <w:rPr>
          <w:szCs w:val="24"/>
          <w:lang w:val="en-US"/>
        </w:rPr>
        <w:t xml:space="preserve">in depth to include references to real transactions in </w:t>
      </w:r>
      <w:r w:rsidRPr="00D4260C">
        <w:rPr>
          <w:szCs w:val="24"/>
          <w:lang w:val="en-US"/>
        </w:rPr>
        <w:t>its calculation</w:t>
      </w:r>
      <w:r w:rsidRPr="004A3F58">
        <w:rPr>
          <w:rFonts w:eastAsia="Times New Roman"/>
          <w:szCs w:val="24"/>
          <w:lang w:val="en-US"/>
        </w:rPr>
        <w:t> </w:t>
      </w:r>
    </w:p>
    <w:p w14:paraId="71C47ECD" w14:textId="77777777" w:rsidR="00125909" w:rsidRPr="004A3F58" w:rsidRDefault="00125909" w:rsidP="00125909">
      <w:pPr>
        <w:rPr>
          <w:rFonts w:eastAsia="Times New Roman"/>
          <w:szCs w:val="24"/>
          <w:lang w:val="en-US"/>
        </w:rPr>
      </w:pPr>
      <w:r w:rsidRPr="00D4260C">
        <w:rPr>
          <w:szCs w:val="24"/>
          <w:lang w:val="en-US"/>
        </w:rPr>
        <w:t xml:space="preserve">IBOR were supposed to measure </w:t>
      </w:r>
      <w:r w:rsidR="00F37177" w:rsidRPr="00D4260C">
        <w:rPr>
          <w:szCs w:val="24"/>
          <w:lang w:val="en-US"/>
        </w:rPr>
        <w:t>cost of borrowings</w:t>
      </w:r>
      <w:r w:rsidRPr="00D4260C">
        <w:rPr>
          <w:szCs w:val="24"/>
          <w:lang w:val="en-US"/>
        </w:rPr>
        <w:t xml:space="preserve"> between banks, but the quality of the measure has deteriorated since the Lehmann crisis (2008) for three reasons:</w:t>
      </w:r>
    </w:p>
    <w:p w14:paraId="1A416102" w14:textId="77777777" w:rsidR="00125909" w:rsidRPr="004A3F58" w:rsidRDefault="00125909" w:rsidP="00125909">
      <w:pPr>
        <w:pStyle w:val="Paragraphedeliste"/>
        <w:numPr>
          <w:ilvl w:val="0"/>
          <w:numId w:val="1"/>
        </w:numPr>
        <w:rPr>
          <w:rFonts w:eastAsia="Times New Roman"/>
          <w:szCs w:val="24"/>
          <w:lang w:val="en-US"/>
        </w:rPr>
      </w:pPr>
      <w:r w:rsidRPr="00D4260C">
        <w:rPr>
          <w:szCs w:val="24"/>
          <w:lang w:val="en-US"/>
        </w:rPr>
        <w:t xml:space="preserve">banks are reluctant to lend to each other for more than one day: </w:t>
      </w:r>
      <w:r w:rsidR="00FD5BBB" w:rsidRPr="00D4260C">
        <w:rPr>
          <w:szCs w:val="24"/>
          <w:lang w:val="en-US"/>
        </w:rPr>
        <w:t xml:space="preserve">they now lend their excess liquidity to </w:t>
      </w:r>
      <w:r w:rsidRPr="00D4260C">
        <w:rPr>
          <w:szCs w:val="24"/>
          <w:lang w:val="en-US"/>
        </w:rPr>
        <w:t>central banks and the market operates in a hub-and-spoke mode</w:t>
      </w:r>
    </w:p>
    <w:p w14:paraId="593337CE" w14:textId="77777777" w:rsidR="00125909" w:rsidRPr="00D4260C" w:rsidRDefault="00125909" w:rsidP="00682BC5">
      <w:pPr>
        <w:pStyle w:val="Paragraphedeliste"/>
        <w:numPr>
          <w:ilvl w:val="0"/>
          <w:numId w:val="1"/>
        </w:numPr>
        <w:rPr>
          <w:rFonts w:eastAsia="Times New Roman"/>
          <w:szCs w:val="24"/>
          <w:lang w:val="en-US"/>
        </w:rPr>
      </w:pPr>
      <w:r w:rsidRPr="00D4260C">
        <w:rPr>
          <w:szCs w:val="24"/>
          <w:lang w:val="en-US"/>
        </w:rPr>
        <w:t xml:space="preserve">regulators (central banks) have added </w:t>
      </w:r>
      <w:r w:rsidR="00FD5BBB" w:rsidRPr="00D4260C">
        <w:rPr>
          <w:szCs w:val="24"/>
          <w:lang w:val="en-US"/>
        </w:rPr>
        <w:t xml:space="preserve">the </w:t>
      </w:r>
      <w:r w:rsidRPr="00D4260C">
        <w:rPr>
          <w:szCs w:val="24"/>
          <w:lang w:val="en-US"/>
        </w:rPr>
        <w:t xml:space="preserve">liquidity </w:t>
      </w:r>
      <w:r w:rsidR="00FD5BBB" w:rsidRPr="00D4260C">
        <w:rPr>
          <w:szCs w:val="24"/>
          <w:lang w:val="en-US"/>
        </w:rPr>
        <w:t xml:space="preserve">management to the </w:t>
      </w:r>
      <w:r w:rsidRPr="00D4260C">
        <w:rPr>
          <w:szCs w:val="24"/>
          <w:lang w:val="en-US"/>
        </w:rPr>
        <w:t xml:space="preserve">supervision of financial institutions, forcing them to hold considerable </w:t>
      </w:r>
      <w:r w:rsidR="00682BC5" w:rsidRPr="00D4260C">
        <w:rPr>
          <w:szCs w:val="24"/>
          <w:lang w:val="en-US"/>
        </w:rPr>
        <w:t>amounts</w:t>
      </w:r>
      <w:r w:rsidRPr="00D4260C">
        <w:rPr>
          <w:szCs w:val="24"/>
          <w:lang w:val="en-US"/>
        </w:rPr>
        <w:t xml:space="preserve"> of paper </w:t>
      </w:r>
    </w:p>
    <w:p w14:paraId="1CF0CEE0" w14:textId="77777777" w:rsidR="00125909" w:rsidRPr="004A3F58" w:rsidRDefault="00FD5BBB" w:rsidP="00682BC5">
      <w:pPr>
        <w:pStyle w:val="Paragraphedeliste"/>
        <w:numPr>
          <w:ilvl w:val="0"/>
          <w:numId w:val="1"/>
        </w:numPr>
        <w:rPr>
          <w:rFonts w:eastAsia="Times New Roman"/>
          <w:szCs w:val="24"/>
          <w:lang w:val="en-US"/>
        </w:rPr>
      </w:pPr>
      <w:r w:rsidRPr="00D4260C">
        <w:rPr>
          <w:szCs w:val="24"/>
          <w:lang w:val="en-US"/>
        </w:rPr>
        <w:t>the IBOR</w:t>
      </w:r>
      <w:r w:rsidR="00125909" w:rsidRPr="00D4260C">
        <w:rPr>
          <w:szCs w:val="24"/>
          <w:lang w:val="en-US"/>
        </w:rPr>
        <w:t xml:space="preserve">s were all established on a declarative basis with a risk of conflict of interest for a bank belonging to a panel with positions on the index it was declaring. This risk has </w:t>
      </w:r>
      <w:proofErr w:type="gramStart"/>
      <w:r w:rsidR="006C5095" w:rsidRPr="00D4260C">
        <w:rPr>
          <w:szCs w:val="24"/>
          <w:lang w:val="en-US"/>
        </w:rPr>
        <w:t xml:space="preserve">materialized </w:t>
      </w:r>
      <w:r w:rsidR="00125909" w:rsidRPr="00D4260C">
        <w:rPr>
          <w:szCs w:val="24"/>
          <w:lang w:val="en-US"/>
        </w:rPr>
        <w:t xml:space="preserve"> </w:t>
      </w:r>
      <w:r w:rsidR="006C5095" w:rsidRPr="00D4260C">
        <w:rPr>
          <w:szCs w:val="24"/>
          <w:lang w:val="en-US"/>
        </w:rPr>
        <w:t>in</w:t>
      </w:r>
      <w:proofErr w:type="gramEnd"/>
      <w:r w:rsidR="006C5095" w:rsidRPr="00D4260C">
        <w:rPr>
          <w:szCs w:val="24"/>
          <w:lang w:val="en-US"/>
        </w:rPr>
        <w:t xml:space="preserve"> </w:t>
      </w:r>
      <w:r w:rsidR="00125909" w:rsidRPr="00D4260C">
        <w:rPr>
          <w:szCs w:val="24"/>
          <w:lang w:val="en-US"/>
        </w:rPr>
        <w:t xml:space="preserve">few occasions, resulting in considerable financial penalties and discouraging </w:t>
      </w:r>
      <w:r w:rsidR="006C5095" w:rsidRPr="00D4260C">
        <w:rPr>
          <w:szCs w:val="24"/>
          <w:lang w:val="en-US"/>
        </w:rPr>
        <w:t xml:space="preserve">other </w:t>
      </w:r>
      <w:r w:rsidR="00125909" w:rsidRPr="00D4260C">
        <w:rPr>
          <w:szCs w:val="24"/>
          <w:lang w:val="en-US"/>
        </w:rPr>
        <w:t>banks from continuing to participate in these panels</w:t>
      </w:r>
      <w:r w:rsidR="00125909" w:rsidRPr="00FD5BBB">
        <w:rPr>
          <w:rFonts w:eastAsia="Times New Roman"/>
          <w:szCs w:val="24"/>
          <w:lang w:val="en-US"/>
        </w:rPr>
        <w:t>.</w:t>
      </w:r>
    </w:p>
    <w:p w14:paraId="5D3D3693" w14:textId="77777777" w:rsidR="00682BC5" w:rsidRPr="004A3F58" w:rsidRDefault="00682BC5" w:rsidP="00682BC5">
      <w:pPr>
        <w:pStyle w:val="Paragraphedeliste"/>
        <w:rPr>
          <w:rFonts w:eastAsia="Times New Roman"/>
          <w:szCs w:val="24"/>
          <w:lang w:val="en-US"/>
        </w:rPr>
      </w:pPr>
    </w:p>
    <w:p w14:paraId="10637F05" w14:textId="77777777" w:rsidR="00125909" w:rsidRPr="004A3F58" w:rsidRDefault="00125909" w:rsidP="00125909">
      <w:pPr>
        <w:rPr>
          <w:rFonts w:eastAsia="Times New Roman"/>
          <w:szCs w:val="24"/>
          <w:lang w:val="en-US"/>
        </w:rPr>
      </w:pPr>
      <w:r w:rsidRPr="00D4260C">
        <w:rPr>
          <w:szCs w:val="24"/>
          <w:lang w:val="en-US"/>
        </w:rPr>
        <w:t xml:space="preserve">The deterioration in the relevance of the indices has been gradually </w:t>
      </w:r>
      <w:r w:rsidR="00682BC5" w:rsidRPr="00D4260C">
        <w:rPr>
          <w:szCs w:val="24"/>
          <w:lang w:val="en-US"/>
        </w:rPr>
        <w:t>amplified:</w:t>
      </w:r>
    </w:p>
    <w:p w14:paraId="540C9F95" w14:textId="77777777" w:rsidR="00125909" w:rsidRPr="004A3F58" w:rsidRDefault="00125909" w:rsidP="00682BC5">
      <w:pPr>
        <w:pStyle w:val="Paragraphedeliste"/>
        <w:numPr>
          <w:ilvl w:val="0"/>
          <w:numId w:val="2"/>
        </w:numPr>
        <w:rPr>
          <w:rFonts w:eastAsia="Times New Roman"/>
          <w:szCs w:val="24"/>
          <w:lang w:val="en-US"/>
        </w:rPr>
      </w:pPr>
      <w:r w:rsidRPr="00D4260C">
        <w:rPr>
          <w:szCs w:val="24"/>
          <w:lang w:val="en-US"/>
        </w:rPr>
        <w:t>for the Ibor by the defections of contributors refusing the risk of remaining in a panel</w:t>
      </w:r>
    </w:p>
    <w:p w14:paraId="0352FCE3" w14:textId="77777777" w:rsidR="00125909" w:rsidRPr="004A3F58" w:rsidRDefault="00125909" w:rsidP="00682BC5">
      <w:pPr>
        <w:pStyle w:val="Paragraphedeliste"/>
        <w:numPr>
          <w:ilvl w:val="0"/>
          <w:numId w:val="2"/>
        </w:numPr>
        <w:rPr>
          <w:rFonts w:eastAsia="Times New Roman"/>
          <w:szCs w:val="24"/>
          <w:lang w:val="en-US"/>
        </w:rPr>
      </w:pPr>
      <w:r w:rsidRPr="00D4260C">
        <w:rPr>
          <w:szCs w:val="24"/>
          <w:lang w:val="en-US"/>
        </w:rPr>
        <w:t>for overnight rates due to the unprecedented shrinking of the volume of reference transactions.</w:t>
      </w:r>
    </w:p>
    <w:p w14:paraId="21BC3734"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4C9E9C36" w14:textId="77777777" w:rsidR="00125909" w:rsidRPr="004A3F58" w:rsidRDefault="00125909" w:rsidP="00125909">
      <w:pPr>
        <w:rPr>
          <w:rFonts w:eastAsia="Times New Roman"/>
          <w:szCs w:val="24"/>
          <w:lang w:val="en-US"/>
        </w:rPr>
      </w:pPr>
      <w:r w:rsidRPr="00D4260C">
        <w:rPr>
          <w:szCs w:val="24"/>
          <w:lang w:val="en-US"/>
        </w:rPr>
        <w:t xml:space="preserve">Under these conditions, regulators and/or central banks have opted for </w:t>
      </w:r>
      <w:r w:rsidR="0067473D" w:rsidRPr="00D4260C">
        <w:rPr>
          <w:szCs w:val="24"/>
          <w:lang w:val="en-US"/>
        </w:rPr>
        <w:t>drastic solutions:</w:t>
      </w:r>
    </w:p>
    <w:p w14:paraId="7BDB97AF" w14:textId="77777777" w:rsidR="00125909" w:rsidRPr="004A3F58" w:rsidRDefault="00125909" w:rsidP="0067473D">
      <w:pPr>
        <w:pStyle w:val="Paragraphedeliste"/>
        <w:numPr>
          <w:ilvl w:val="0"/>
          <w:numId w:val="3"/>
        </w:numPr>
        <w:rPr>
          <w:rFonts w:eastAsia="Times New Roman"/>
          <w:szCs w:val="24"/>
          <w:lang w:val="en-US"/>
        </w:rPr>
      </w:pPr>
      <w:r w:rsidRPr="00D4260C">
        <w:rPr>
          <w:szCs w:val="24"/>
          <w:lang w:val="en-US"/>
        </w:rPr>
        <w:t>we are now only based on real transactions (secure</w:t>
      </w:r>
      <w:r w:rsidR="006C5095" w:rsidRPr="00D4260C">
        <w:rPr>
          <w:szCs w:val="24"/>
          <w:lang w:val="en-US"/>
        </w:rPr>
        <w:t>d</w:t>
      </w:r>
      <w:r w:rsidRPr="00D4260C">
        <w:rPr>
          <w:szCs w:val="24"/>
          <w:lang w:val="en-US"/>
        </w:rPr>
        <w:t xml:space="preserve"> or not) considered risk-free (Risk Free Rate)</w:t>
      </w:r>
    </w:p>
    <w:p w14:paraId="32570D23" w14:textId="77777777" w:rsidR="00125909" w:rsidRPr="004A3F58" w:rsidRDefault="00125909" w:rsidP="0067473D">
      <w:pPr>
        <w:pStyle w:val="Paragraphedeliste"/>
        <w:numPr>
          <w:ilvl w:val="0"/>
          <w:numId w:val="3"/>
        </w:numPr>
        <w:rPr>
          <w:rFonts w:eastAsia="Times New Roman"/>
          <w:szCs w:val="24"/>
          <w:lang w:val="en-US"/>
        </w:rPr>
      </w:pPr>
      <w:r w:rsidRPr="00D4260C">
        <w:rPr>
          <w:szCs w:val="24"/>
          <w:lang w:val="en-US"/>
        </w:rPr>
        <w:t>by retaining in</w:t>
      </w:r>
      <w:r w:rsidR="006C5095" w:rsidRPr="00D4260C">
        <w:rPr>
          <w:szCs w:val="24"/>
          <w:lang w:val="en-US"/>
        </w:rPr>
        <w:t xml:space="preserve"> the panels and calculation basi</w:t>
      </w:r>
      <w:r w:rsidRPr="00D4260C">
        <w:rPr>
          <w:szCs w:val="24"/>
          <w:lang w:val="en-US"/>
        </w:rPr>
        <w:t>s a scope of transactions extended to money market financial agents who do not necessarily have a banking license.</w:t>
      </w:r>
    </w:p>
    <w:p w14:paraId="509FB53B"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19F87725" w14:textId="77777777" w:rsidR="00125909" w:rsidRPr="004A3F58" w:rsidRDefault="00125909" w:rsidP="00125909">
      <w:pPr>
        <w:rPr>
          <w:rFonts w:eastAsia="Times New Roman"/>
          <w:szCs w:val="24"/>
          <w:lang w:val="en-US"/>
        </w:rPr>
      </w:pPr>
      <w:r w:rsidRPr="00D4260C">
        <w:rPr>
          <w:szCs w:val="24"/>
          <w:lang w:val="en-US"/>
        </w:rPr>
        <w:t>The overnight rates (Eonia, Fed Funds, Sonia...) have been reformed or even replaced in €STR for THE EUR and SOFR for the USD.  One of the disadvantages is that these rates are publ</w:t>
      </w:r>
      <w:r w:rsidR="006C5095" w:rsidRPr="00D4260C">
        <w:rPr>
          <w:szCs w:val="24"/>
          <w:lang w:val="en-US"/>
        </w:rPr>
        <w:t>ished the day after the reference day</w:t>
      </w:r>
      <w:r w:rsidRPr="00D4260C">
        <w:rPr>
          <w:szCs w:val="24"/>
          <w:lang w:val="en-US"/>
        </w:rPr>
        <w:t>. As far as period rates are concerned, international IBOR have disappeared, but some domestic rates have been reformed and preserved, notably Euribor.</w:t>
      </w:r>
    </w:p>
    <w:p w14:paraId="6BFF90B1"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465ED6BA" w14:textId="77777777" w:rsidR="00125909" w:rsidRPr="004A3F58" w:rsidRDefault="00125909" w:rsidP="00125909">
      <w:pPr>
        <w:rPr>
          <w:rFonts w:eastAsia="Times New Roman"/>
          <w:szCs w:val="24"/>
          <w:lang w:val="en-US"/>
        </w:rPr>
      </w:pPr>
      <w:r w:rsidRPr="00D4260C">
        <w:rPr>
          <w:szCs w:val="24"/>
          <w:lang w:val="en-US"/>
        </w:rPr>
        <w:t xml:space="preserve">To the question of what </w:t>
      </w:r>
      <w:r w:rsidR="0067473D" w:rsidRPr="00D4260C">
        <w:rPr>
          <w:szCs w:val="24"/>
          <w:lang w:val="en-US"/>
        </w:rPr>
        <w:t>was the cost</w:t>
      </w:r>
      <w:r w:rsidRPr="00D4260C">
        <w:rPr>
          <w:szCs w:val="24"/>
          <w:lang w:val="en-US"/>
        </w:rPr>
        <w:t xml:space="preserve"> of borrowing (or refinancing) over a given period (</w:t>
      </w:r>
      <w:r w:rsidR="00CD7BF0" w:rsidRPr="00D4260C">
        <w:rPr>
          <w:szCs w:val="24"/>
          <w:lang w:val="en-US"/>
        </w:rPr>
        <w:t>e.g.,</w:t>
      </w:r>
      <w:r w:rsidRPr="00D4260C">
        <w:rPr>
          <w:szCs w:val="24"/>
          <w:lang w:val="en-US"/>
        </w:rPr>
        <w:t xml:space="preserve"> 3 months), we had so far three </w:t>
      </w:r>
      <w:r w:rsidR="0067473D" w:rsidRPr="00D4260C">
        <w:rPr>
          <w:szCs w:val="24"/>
          <w:lang w:val="en-US"/>
        </w:rPr>
        <w:t>answers:</w:t>
      </w:r>
    </w:p>
    <w:p w14:paraId="3F60844C" w14:textId="77777777" w:rsidR="00125909" w:rsidRPr="004A3F58" w:rsidRDefault="00125909" w:rsidP="0067473D">
      <w:pPr>
        <w:pStyle w:val="Paragraphedeliste"/>
        <w:numPr>
          <w:ilvl w:val="0"/>
          <w:numId w:val="4"/>
        </w:numPr>
        <w:rPr>
          <w:rFonts w:eastAsia="Times New Roman"/>
          <w:szCs w:val="24"/>
          <w:lang w:val="en-US"/>
        </w:rPr>
      </w:pPr>
      <w:r w:rsidRPr="00D4260C">
        <w:rPr>
          <w:szCs w:val="24"/>
          <w:lang w:val="en-US"/>
        </w:rPr>
        <w:t>the Ibor index known at the beginning of the period</w:t>
      </w:r>
    </w:p>
    <w:p w14:paraId="74C03292" w14:textId="77777777" w:rsidR="00125909" w:rsidRPr="004A3F58" w:rsidRDefault="00125909" w:rsidP="0067473D">
      <w:pPr>
        <w:pStyle w:val="Paragraphedeliste"/>
        <w:numPr>
          <w:ilvl w:val="0"/>
          <w:numId w:val="4"/>
        </w:numPr>
        <w:rPr>
          <w:rFonts w:eastAsia="Times New Roman"/>
          <w:szCs w:val="24"/>
          <w:lang w:val="en-US"/>
        </w:rPr>
      </w:pPr>
      <w:r w:rsidRPr="00D4260C">
        <w:rPr>
          <w:szCs w:val="24"/>
          <w:lang w:val="en-US"/>
        </w:rPr>
        <w:t>the average of the overnight rates, known at the end of the period (example SOFR 3M)</w:t>
      </w:r>
    </w:p>
    <w:p w14:paraId="0C60F883" w14:textId="77777777" w:rsidR="00125909" w:rsidRPr="004A3F58" w:rsidRDefault="00125909" w:rsidP="0067473D">
      <w:pPr>
        <w:pStyle w:val="Paragraphedeliste"/>
        <w:numPr>
          <w:ilvl w:val="0"/>
          <w:numId w:val="4"/>
        </w:numPr>
        <w:rPr>
          <w:rFonts w:eastAsia="Times New Roman"/>
          <w:szCs w:val="24"/>
          <w:lang w:val="en-US"/>
        </w:rPr>
      </w:pPr>
      <w:r w:rsidRPr="00D4260C">
        <w:rPr>
          <w:szCs w:val="24"/>
          <w:lang w:val="en-US"/>
        </w:rPr>
        <w:t>the expectation of this average being quoted on the short swap market, known at the beginning of the period (Example Term SOFR 3M)</w:t>
      </w:r>
    </w:p>
    <w:p w14:paraId="7F2A7B99"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1BD49DC3" w14:textId="77777777" w:rsidR="00125909" w:rsidRPr="004A3F58" w:rsidRDefault="00125909" w:rsidP="00125909">
      <w:pPr>
        <w:rPr>
          <w:rFonts w:eastAsia="Times New Roman"/>
          <w:szCs w:val="24"/>
          <w:lang w:val="en-US"/>
        </w:rPr>
      </w:pPr>
      <w:r w:rsidRPr="00D4260C">
        <w:rPr>
          <w:szCs w:val="24"/>
          <w:lang w:val="en-US"/>
        </w:rPr>
        <w:t>For currencies whose IBOR has disappeared, solutions 2 and 3 remai</w:t>
      </w:r>
      <w:r w:rsidR="006C5095" w:rsidRPr="00D4260C">
        <w:rPr>
          <w:szCs w:val="24"/>
          <w:lang w:val="en-US"/>
        </w:rPr>
        <w:t xml:space="preserve">n. Regulators prefer </w:t>
      </w:r>
      <w:r w:rsidRPr="00D4260C">
        <w:rPr>
          <w:szCs w:val="24"/>
          <w:lang w:val="en-US"/>
        </w:rPr>
        <w:t>solution</w:t>
      </w:r>
      <w:r w:rsidR="006C5095" w:rsidRPr="00D4260C">
        <w:rPr>
          <w:szCs w:val="24"/>
          <w:lang w:val="en-US"/>
        </w:rPr>
        <w:t xml:space="preserve"> N2</w:t>
      </w:r>
      <w:r w:rsidRPr="00D4260C">
        <w:rPr>
          <w:szCs w:val="24"/>
          <w:lang w:val="en-US"/>
        </w:rPr>
        <w:t xml:space="preserve">, </w:t>
      </w:r>
      <w:r w:rsidR="006C5095" w:rsidRPr="00D4260C">
        <w:rPr>
          <w:szCs w:val="24"/>
          <w:lang w:val="en-US"/>
        </w:rPr>
        <w:t xml:space="preserve">but </w:t>
      </w:r>
      <w:r w:rsidRPr="00D4260C">
        <w:rPr>
          <w:szCs w:val="24"/>
          <w:lang w:val="en-US"/>
        </w:rPr>
        <w:t>it has the disadvantage for operators of being known only a posteriori</w:t>
      </w:r>
      <w:r w:rsidR="006C5095" w:rsidRPr="00D4260C">
        <w:rPr>
          <w:szCs w:val="24"/>
          <w:lang w:val="en-US"/>
        </w:rPr>
        <w:t xml:space="preserve">, which is not compatible with </w:t>
      </w:r>
      <w:r w:rsidRPr="00D4260C">
        <w:rPr>
          <w:szCs w:val="24"/>
          <w:lang w:val="en-US"/>
        </w:rPr>
        <w:t xml:space="preserve">computer processing chains </w:t>
      </w:r>
      <w:r w:rsidR="006C5095" w:rsidRPr="00D4260C">
        <w:rPr>
          <w:szCs w:val="24"/>
          <w:lang w:val="en-US"/>
        </w:rPr>
        <w:t xml:space="preserve">floating rate retail or wholesale </w:t>
      </w:r>
      <w:r w:rsidR="006C5095" w:rsidRPr="00D4260C">
        <w:rPr>
          <w:szCs w:val="24"/>
          <w:lang w:val="en-US"/>
        </w:rPr>
        <w:lastRenderedPageBreak/>
        <w:t>assets or liabilities.</w:t>
      </w:r>
      <w:r w:rsidRPr="00D4260C">
        <w:rPr>
          <w:szCs w:val="24"/>
          <w:lang w:val="en-US"/>
        </w:rPr>
        <w:t xml:space="preserve"> </w:t>
      </w:r>
      <w:r w:rsidR="006C5095" w:rsidRPr="00D4260C">
        <w:rPr>
          <w:szCs w:val="24"/>
          <w:lang w:val="en-US"/>
        </w:rPr>
        <w:t xml:space="preserve"> The markets are </w:t>
      </w:r>
      <w:r w:rsidRPr="00D4260C">
        <w:rPr>
          <w:szCs w:val="24"/>
          <w:lang w:val="en-US"/>
        </w:rPr>
        <w:t>ther</w:t>
      </w:r>
      <w:r w:rsidR="006C5095" w:rsidRPr="00D4260C">
        <w:rPr>
          <w:szCs w:val="24"/>
          <w:lang w:val="en-US"/>
        </w:rPr>
        <w:t xml:space="preserve">efore moving towards </w:t>
      </w:r>
      <w:r w:rsidRPr="00D4260C">
        <w:rPr>
          <w:szCs w:val="24"/>
          <w:lang w:val="en-US"/>
        </w:rPr>
        <w:t xml:space="preserve">overnight rates (or their compound averages over the period) for derivatives, especially futures, and, for cash, towards short </w:t>
      </w:r>
      <w:r w:rsidR="006C5095" w:rsidRPr="00D4260C">
        <w:rPr>
          <w:szCs w:val="24"/>
          <w:lang w:val="en-US"/>
        </w:rPr>
        <w:t xml:space="preserve">dated </w:t>
      </w:r>
      <w:r w:rsidRPr="00D4260C">
        <w:rPr>
          <w:szCs w:val="24"/>
          <w:lang w:val="en-US"/>
        </w:rPr>
        <w:t>swap fixings (</w:t>
      </w:r>
      <w:r w:rsidR="006C5095" w:rsidRPr="00D4260C">
        <w:rPr>
          <w:szCs w:val="24"/>
          <w:lang w:val="en-US"/>
        </w:rPr>
        <w:t xml:space="preserve">actually </w:t>
      </w:r>
      <w:proofErr w:type="spellStart"/>
      <w:r w:rsidRPr="00D4260C">
        <w:rPr>
          <w:szCs w:val="24"/>
          <w:lang w:val="en-US"/>
        </w:rPr>
        <w:t>Contant</w:t>
      </w:r>
      <w:proofErr w:type="spellEnd"/>
      <w:r w:rsidRPr="00D4260C">
        <w:rPr>
          <w:szCs w:val="24"/>
          <w:lang w:val="en-US"/>
        </w:rPr>
        <w:t xml:space="preserve"> Maturity Swaps).</w:t>
      </w:r>
    </w:p>
    <w:p w14:paraId="46B4FB03"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280E6C45" w14:textId="77777777" w:rsidR="00125909" w:rsidRPr="004A3F58" w:rsidRDefault="006C5095" w:rsidP="00125909">
      <w:pPr>
        <w:rPr>
          <w:rFonts w:eastAsia="Times New Roman"/>
          <w:szCs w:val="24"/>
          <w:lang w:val="en-US"/>
        </w:rPr>
      </w:pPr>
      <w:r w:rsidRPr="00D4260C">
        <w:rPr>
          <w:szCs w:val="24"/>
          <w:lang w:val="en-US"/>
        </w:rPr>
        <w:t xml:space="preserve">As regards </w:t>
      </w:r>
      <w:r w:rsidR="00125909" w:rsidRPr="00D4260C">
        <w:rPr>
          <w:szCs w:val="24"/>
          <w:lang w:val="en-US"/>
        </w:rPr>
        <w:t>overnight rates</w:t>
      </w:r>
      <w:r w:rsidRPr="00D4260C">
        <w:rPr>
          <w:szCs w:val="24"/>
          <w:lang w:val="en-US"/>
        </w:rPr>
        <w:t xml:space="preserve"> averages</w:t>
      </w:r>
      <w:r w:rsidR="00125909" w:rsidRPr="00D4260C">
        <w:rPr>
          <w:szCs w:val="24"/>
          <w:lang w:val="en-US"/>
        </w:rPr>
        <w:t>, one might think that we have recreated a</w:t>
      </w:r>
      <w:r w:rsidRPr="00D4260C">
        <w:rPr>
          <w:szCs w:val="24"/>
          <w:lang w:val="en-US"/>
        </w:rPr>
        <w:t xml:space="preserve"> short-term curve</w:t>
      </w:r>
      <w:r w:rsidR="00125909" w:rsidRPr="00D4260C">
        <w:rPr>
          <w:szCs w:val="24"/>
          <w:lang w:val="en-US"/>
        </w:rPr>
        <w:t xml:space="preserve">, but this is not the </w:t>
      </w:r>
      <w:r w:rsidR="0067473D" w:rsidRPr="00D4260C">
        <w:rPr>
          <w:szCs w:val="24"/>
          <w:lang w:val="en-US"/>
        </w:rPr>
        <w:t>case:</w:t>
      </w:r>
      <w:r w:rsidR="00125909" w:rsidRPr="00D4260C">
        <w:rPr>
          <w:szCs w:val="24"/>
          <w:lang w:val="en-US"/>
        </w:rPr>
        <w:t xml:space="preserve"> we have only one rate each </w:t>
      </w:r>
      <w:proofErr w:type="gramStart"/>
      <w:r w:rsidR="00125909" w:rsidRPr="00D4260C">
        <w:rPr>
          <w:szCs w:val="24"/>
          <w:lang w:val="en-US"/>
        </w:rPr>
        <w:t>day ,</w:t>
      </w:r>
      <w:proofErr w:type="gramEnd"/>
      <w:r w:rsidR="00125909" w:rsidRPr="00D4260C">
        <w:rPr>
          <w:szCs w:val="24"/>
          <w:lang w:val="en-US"/>
        </w:rPr>
        <w:t xml:space="preserve"> which is the one of the day before, and this rate cannot be very different from the rate at which the central bank takes back liquidity (the low milestone). The clearance of the indices has therefore been done at the cost of a radical </w:t>
      </w:r>
      <w:r w:rsidR="00696090" w:rsidRPr="00D4260C">
        <w:rPr>
          <w:szCs w:val="24"/>
          <w:lang w:val="en-US"/>
        </w:rPr>
        <w:t>impoverishment:</w:t>
      </w:r>
      <w:r w:rsidR="00125909" w:rsidRPr="00D4260C">
        <w:rPr>
          <w:szCs w:val="24"/>
          <w:lang w:val="en-US"/>
        </w:rPr>
        <w:t xml:space="preserve"> </w:t>
      </w:r>
      <w:r w:rsidRPr="00D4260C">
        <w:rPr>
          <w:szCs w:val="24"/>
          <w:lang w:val="en-US"/>
        </w:rPr>
        <w:t xml:space="preserve">we still have </w:t>
      </w:r>
      <w:r w:rsidR="00125909" w:rsidRPr="00D4260C">
        <w:rPr>
          <w:szCs w:val="24"/>
          <w:lang w:val="en-US"/>
        </w:rPr>
        <w:t>an indication of the slope of the curve</w:t>
      </w:r>
      <w:r w:rsidRPr="00D4260C">
        <w:rPr>
          <w:szCs w:val="24"/>
          <w:lang w:val="en-US"/>
        </w:rPr>
        <w:t xml:space="preserve"> with short dated swaps</w:t>
      </w:r>
      <w:r w:rsidR="00125909" w:rsidRPr="00D4260C">
        <w:rPr>
          <w:szCs w:val="24"/>
          <w:lang w:val="en-US"/>
        </w:rPr>
        <w:t>, but we have l</w:t>
      </w:r>
      <w:r w:rsidRPr="00D4260C">
        <w:rPr>
          <w:szCs w:val="24"/>
          <w:lang w:val="en-US"/>
        </w:rPr>
        <w:t xml:space="preserve">ost all information regarding </w:t>
      </w:r>
      <w:r w:rsidR="00125909" w:rsidRPr="00D4260C">
        <w:rPr>
          <w:szCs w:val="24"/>
          <w:lang w:val="en-US"/>
        </w:rPr>
        <w:t>liquidity.</w:t>
      </w:r>
    </w:p>
    <w:p w14:paraId="4C5C6629"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0FC81D98" w14:textId="77777777" w:rsidR="00125909" w:rsidRPr="004A3F58" w:rsidRDefault="006C5095" w:rsidP="00125909">
      <w:pPr>
        <w:rPr>
          <w:rFonts w:eastAsia="Times New Roman"/>
          <w:szCs w:val="24"/>
          <w:lang w:val="en-US"/>
        </w:rPr>
      </w:pPr>
      <w:r w:rsidRPr="00D4260C">
        <w:rPr>
          <w:szCs w:val="24"/>
          <w:lang w:val="en-US"/>
        </w:rPr>
        <w:t xml:space="preserve">No one </w:t>
      </w:r>
      <w:r w:rsidR="00125909" w:rsidRPr="00D4260C">
        <w:rPr>
          <w:szCs w:val="24"/>
          <w:lang w:val="en-US"/>
        </w:rPr>
        <w:t xml:space="preserve">can </w:t>
      </w:r>
      <w:r w:rsidRPr="00D4260C">
        <w:rPr>
          <w:szCs w:val="24"/>
          <w:lang w:val="en-US"/>
        </w:rPr>
        <w:t xml:space="preserve">any </w:t>
      </w:r>
      <w:r w:rsidR="00125909" w:rsidRPr="00D4260C">
        <w:rPr>
          <w:szCs w:val="24"/>
          <w:lang w:val="en-US"/>
        </w:rPr>
        <w:t>longer conclude a new LIBOR indexed contract, but we must manage the old contracts whose indexation has not been am</w:t>
      </w:r>
      <w:r w:rsidRPr="00D4260C">
        <w:rPr>
          <w:szCs w:val="24"/>
          <w:lang w:val="en-US"/>
        </w:rPr>
        <w:t>ended. This is why</w:t>
      </w:r>
      <w:r w:rsidR="00125909" w:rsidRPr="00D4260C">
        <w:rPr>
          <w:szCs w:val="24"/>
          <w:lang w:val="en-US"/>
        </w:rPr>
        <w:t xml:space="preserve"> "Fall-Back</w:t>
      </w:r>
      <w:r w:rsidR="00125909" w:rsidRPr="00D4260C">
        <w:rPr>
          <w:lang w:val="en-US"/>
        </w:rPr>
        <w:t>" indices are published</w:t>
      </w:r>
      <w:r w:rsidR="00125909" w:rsidRPr="00D4260C">
        <w:rPr>
          <w:szCs w:val="24"/>
          <w:lang w:val="en-US"/>
        </w:rPr>
        <w:t>, known at the end of the period, and equal to the average of the overnight rates over the past period plus a "spread adjust</w:t>
      </w:r>
      <w:r w:rsidR="00BC7719" w:rsidRPr="00D4260C">
        <w:rPr>
          <w:szCs w:val="24"/>
          <w:lang w:val="en-US"/>
        </w:rPr>
        <w:t xml:space="preserve">ment". The spread </w:t>
      </w:r>
      <w:proofErr w:type="gramStart"/>
      <w:r w:rsidR="00BC7719" w:rsidRPr="00D4260C">
        <w:rPr>
          <w:szCs w:val="24"/>
          <w:lang w:val="en-US"/>
        </w:rPr>
        <w:t>adjustments  are</w:t>
      </w:r>
      <w:proofErr w:type="gramEnd"/>
      <w:r w:rsidR="00BC7719" w:rsidRPr="00D4260C">
        <w:rPr>
          <w:szCs w:val="24"/>
          <w:lang w:val="en-US"/>
        </w:rPr>
        <w:t xml:space="preserve"> calculated so that </w:t>
      </w:r>
      <w:r w:rsidR="00125909" w:rsidRPr="00D4260C">
        <w:rPr>
          <w:szCs w:val="24"/>
          <w:lang w:val="en-US"/>
        </w:rPr>
        <w:t xml:space="preserve">that the average of the IBOR equals the average of their </w:t>
      </w:r>
      <w:proofErr w:type="spellStart"/>
      <w:r w:rsidR="00125909" w:rsidRPr="00D4260C">
        <w:rPr>
          <w:szCs w:val="24"/>
          <w:lang w:val="en-US"/>
        </w:rPr>
        <w:t>fall-back</w:t>
      </w:r>
      <w:proofErr w:type="spellEnd"/>
      <w:r w:rsidR="00125909" w:rsidRPr="00D4260C">
        <w:rPr>
          <w:szCs w:val="24"/>
          <w:lang w:val="en-US"/>
        </w:rPr>
        <w:t xml:space="preserve"> over a period of 5 years </w:t>
      </w:r>
      <w:r w:rsidR="008F6AC0" w:rsidRPr="00D4260C">
        <w:rPr>
          <w:szCs w:val="24"/>
          <w:lang w:val="en-US"/>
        </w:rPr>
        <w:t>preceding</w:t>
      </w:r>
      <w:r w:rsidR="00125909" w:rsidRPr="00D4260C">
        <w:rPr>
          <w:szCs w:val="24"/>
          <w:lang w:val="en-US"/>
        </w:rPr>
        <w:t xml:space="preserve"> March 5, 2021, date of the decision to stop the publication IBOR. IBOR-indexed derivatives (swaps and futures) treat exactly as their replacements plus the spread adjustment: there is therefore no value in amending existing operations. This is not true for the USD </w:t>
      </w:r>
      <w:r w:rsidR="00696090" w:rsidRPr="00D4260C">
        <w:rPr>
          <w:szCs w:val="24"/>
          <w:lang w:val="en-US"/>
        </w:rPr>
        <w:t>where the</w:t>
      </w:r>
      <w:r w:rsidR="00BC7719" w:rsidRPr="00D4260C">
        <w:rPr>
          <w:szCs w:val="24"/>
          <w:lang w:val="en-US"/>
        </w:rPr>
        <w:t xml:space="preserve"> </w:t>
      </w:r>
      <w:r w:rsidR="00125909" w:rsidRPr="00D4260C">
        <w:rPr>
          <w:szCs w:val="24"/>
          <w:lang w:val="en-US"/>
        </w:rPr>
        <w:t xml:space="preserve">Libor still has 18 months of autonomy </w:t>
      </w:r>
      <w:r w:rsidR="00BC7719" w:rsidRPr="00D4260C">
        <w:rPr>
          <w:szCs w:val="24"/>
          <w:lang w:val="en-US"/>
        </w:rPr>
        <w:t xml:space="preserve">as </w:t>
      </w:r>
      <w:r w:rsidR="00125909" w:rsidRPr="00D4260C">
        <w:rPr>
          <w:szCs w:val="24"/>
          <w:lang w:val="en-US"/>
        </w:rPr>
        <w:t>compared to its fall back: the convergence between Libor</w:t>
      </w:r>
      <w:r w:rsidR="00125909" w:rsidRPr="00D4260C">
        <w:rPr>
          <w:lang w:val="en-US"/>
        </w:rPr>
        <w:t xml:space="preserve"> </w:t>
      </w:r>
      <w:proofErr w:type="gramStart"/>
      <w:r w:rsidR="00125909" w:rsidRPr="00D4260C">
        <w:rPr>
          <w:lang w:val="en-US"/>
        </w:rPr>
        <w:t xml:space="preserve">operations </w:t>
      </w:r>
      <w:r w:rsidR="00125909" w:rsidRPr="00D4260C">
        <w:rPr>
          <w:szCs w:val="24"/>
          <w:lang w:val="en-US"/>
        </w:rPr>
        <w:t xml:space="preserve"> and</w:t>
      </w:r>
      <w:proofErr w:type="gramEnd"/>
      <w:r w:rsidR="00125909" w:rsidRPr="00D4260C">
        <w:rPr>
          <w:szCs w:val="24"/>
          <w:lang w:val="en-US"/>
        </w:rPr>
        <w:t xml:space="preserve"> new operations with spread adjustment </w:t>
      </w:r>
      <w:r w:rsidR="00BC7719" w:rsidRPr="00D4260C">
        <w:rPr>
          <w:szCs w:val="24"/>
          <w:lang w:val="en-US"/>
        </w:rPr>
        <w:t xml:space="preserve">limited to transactions </w:t>
      </w:r>
      <w:r w:rsidR="00125909" w:rsidRPr="00D4260C">
        <w:rPr>
          <w:szCs w:val="24"/>
          <w:lang w:val="en-US"/>
        </w:rPr>
        <w:t xml:space="preserve">with a </w:t>
      </w:r>
      <w:r w:rsidR="00696090" w:rsidRPr="00D4260C">
        <w:rPr>
          <w:szCs w:val="24"/>
          <w:lang w:val="en-US"/>
        </w:rPr>
        <w:t xml:space="preserve">forward </w:t>
      </w:r>
      <w:r w:rsidR="00125909" w:rsidRPr="00D4260C">
        <w:rPr>
          <w:szCs w:val="24"/>
          <w:lang w:val="en-US"/>
        </w:rPr>
        <w:t xml:space="preserve"> start beyond June 30, 2023.</w:t>
      </w:r>
    </w:p>
    <w:p w14:paraId="0B241CE0" w14:textId="77777777" w:rsidR="00125909" w:rsidRPr="004A3F58" w:rsidRDefault="00125909" w:rsidP="00125909">
      <w:pPr>
        <w:rPr>
          <w:rFonts w:eastAsia="Times New Roman"/>
          <w:szCs w:val="24"/>
          <w:lang w:val="en-US"/>
        </w:rPr>
      </w:pPr>
      <w:r w:rsidRPr="004A3F58">
        <w:rPr>
          <w:rFonts w:eastAsia="Times New Roman"/>
          <w:szCs w:val="24"/>
          <w:lang w:val="en-US"/>
        </w:rPr>
        <w:t> </w:t>
      </w:r>
    </w:p>
    <w:p w14:paraId="037469E3" w14:textId="77777777" w:rsidR="00125909" w:rsidRPr="004A3F58" w:rsidRDefault="00BC7719" w:rsidP="00125909">
      <w:pPr>
        <w:rPr>
          <w:rFonts w:eastAsia="Times New Roman"/>
          <w:szCs w:val="24"/>
          <w:lang w:val="en-US"/>
        </w:rPr>
      </w:pPr>
      <w:r w:rsidRPr="00D4260C">
        <w:rPr>
          <w:szCs w:val="24"/>
          <w:lang w:val="en-US"/>
        </w:rPr>
        <w:t xml:space="preserve">Practically, </w:t>
      </w:r>
      <w:proofErr w:type="spellStart"/>
      <w:r w:rsidRPr="00D4260C">
        <w:rPr>
          <w:szCs w:val="24"/>
          <w:lang w:val="en-US"/>
        </w:rPr>
        <w:t>thebuilding</w:t>
      </w:r>
      <w:proofErr w:type="spellEnd"/>
      <w:r w:rsidRPr="00D4260C">
        <w:rPr>
          <w:szCs w:val="24"/>
          <w:lang w:val="en-US"/>
        </w:rPr>
        <w:t xml:space="preserve"> </w:t>
      </w:r>
      <w:r w:rsidR="00125909" w:rsidRPr="00D4260C">
        <w:rPr>
          <w:szCs w:val="24"/>
          <w:lang w:val="en-US"/>
        </w:rPr>
        <w:t xml:space="preserve">of yield curves must be based on new data (short swaps, future </w:t>
      </w:r>
      <w:r w:rsidR="00E7166C" w:rsidRPr="00D4260C">
        <w:rPr>
          <w:szCs w:val="24"/>
          <w:lang w:val="en-US"/>
        </w:rPr>
        <w:t>o/n</w:t>
      </w:r>
      <w:r w:rsidR="00125909" w:rsidRPr="00D4260C">
        <w:rPr>
          <w:szCs w:val="24"/>
          <w:lang w:val="en-US"/>
        </w:rPr>
        <w:t xml:space="preserve"> rates, swaps vs </w:t>
      </w:r>
      <w:r w:rsidR="00E7166C" w:rsidRPr="00D4260C">
        <w:rPr>
          <w:szCs w:val="24"/>
          <w:lang w:val="en-US"/>
        </w:rPr>
        <w:t>o/n</w:t>
      </w:r>
      <w:r w:rsidR="00125909" w:rsidRPr="00D4260C">
        <w:rPr>
          <w:szCs w:val="24"/>
          <w:lang w:val="en-US"/>
        </w:rPr>
        <w:t>). The management of fixing is modified in that it occurs at the end of the period, and with</w:t>
      </w:r>
      <w:r w:rsidRPr="00D4260C">
        <w:rPr>
          <w:szCs w:val="24"/>
          <w:lang w:val="en-US"/>
        </w:rPr>
        <w:t xml:space="preserve"> a play on the dates, as otherwise </w:t>
      </w:r>
      <w:r w:rsidR="00125909" w:rsidRPr="00D4260C">
        <w:rPr>
          <w:szCs w:val="24"/>
          <w:lang w:val="en-US"/>
        </w:rPr>
        <w:t xml:space="preserve">the last element of the average </w:t>
      </w:r>
      <w:r w:rsidRPr="00D4260C">
        <w:rPr>
          <w:szCs w:val="24"/>
          <w:lang w:val="en-US"/>
        </w:rPr>
        <w:t xml:space="preserve">would be </w:t>
      </w:r>
      <w:r w:rsidR="00125909" w:rsidRPr="00D4260C">
        <w:rPr>
          <w:szCs w:val="24"/>
          <w:lang w:val="en-US"/>
        </w:rPr>
        <w:t>known two days</w:t>
      </w:r>
      <w:r w:rsidRPr="00D4260C">
        <w:rPr>
          <w:szCs w:val="24"/>
          <w:lang w:val="en-US"/>
        </w:rPr>
        <w:t xml:space="preserve"> after</w:t>
      </w:r>
      <w:r w:rsidR="00125909" w:rsidRPr="00D4260C">
        <w:rPr>
          <w:szCs w:val="24"/>
          <w:lang w:val="en-US"/>
        </w:rPr>
        <w:t xml:space="preserve"> the dead</w:t>
      </w:r>
      <w:r w:rsidRPr="00D4260C">
        <w:rPr>
          <w:szCs w:val="24"/>
          <w:lang w:val="en-US"/>
        </w:rPr>
        <w:t>line for calculating flows</w:t>
      </w:r>
      <w:r w:rsidR="00125909" w:rsidRPr="00D4260C">
        <w:rPr>
          <w:szCs w:val="24"/>
          <w:lang w:val="en-US"/>
        </w:rPr>
        <w:t>. The operations involved are quite heavy, but it is an obligation for everyone to manage the "legacy" by making an inventory of all the operations concerned.</w:t>
      </w:r>
    </w:p>
    <w:p w14:paraId="240ED8E6" w14:textId="77777777" w:rsidR="00125909" w:rsidRPr="004A3F58" w:rsidRDefault="00125909" w:rsidP="00125909">
      <w:pPr>
        <w:rPr>
          <w:lang w:val="en-US"/>
        </w:rPr>
      </w:pPr>
    </w:p>
    <w:sectPr w:rsidR="00125909" w:rsidRPr="004A3F58" w:rsidSect="00265D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989D" w14:textId="77777777" w:rsidR="008576F1" w:rsidRDefault="008576F1" w:rsidP="00125909">
      <w:r>
        <w:separator/>
      </w:r>
    </w:p>
  </w:endnote>
  <w:endnote w:type="continuationSeparator" w:id="0">
    <w:p w14:paraId="1B210CF8" w14:textId="77777777" w:rsidR="008576F1" w:rsidRDefault="008576F1" w:rsidP="001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7949" w14:textId="77777777" w:rsidR="00125909" w:rsidRDefault="00125909" w:rsidP="00D4260C">
    <w:pPr>
      <w:pStyle w:val="Pieddepage"/>
    </w:pPr>
    <w:r w:rsidRPr="004A3F58">
      <w:rPr>
        <w:i/>
        <w:iCs/>
        <w:sz w:val="20"/>
      </w:rPr>
      <w:t xml:space="preserve">Auteur : Jean-Michel </w:t>
    </w:r>
    <w:proofErr w:type="spellStart"/>
    <w:r w:rsidRPr="004A3F58">
      <w:rPr>
        <w:i/>
        <w:iCs/>
        <w:sz w:val="20"/>
      </w:rPr>
      <w:t>Moinade</w:t>
    </w:r>
    <w:proofErr w:type="spellEnd"/>
    <w:r w:rsidRPr="004A3F58">
      <w:rPr>
        <w:i/>
        <w:iCs/>
        <w:sz w:val="20"/>
      </w:rPr>
      <w:t xml:space="preserve"> </w:t>
    </w:r>
    <w:proofErr w:type="spellStart"/>
    <w:r w:rsidRPr="004A3F58">
      <w:rPr>
        <w:i/>
        <w:iCs/>
        <w:sz w:val="20"/>
      </w:rPr>
      <w:t>February</w:t>
    </w:r>
    <w:proofErr w:type="spellEnd"/>
    <w:r w:rsidRPr="004A3F58">
      <w:rPr>
        <w:i/>
        <w:iCs/>
        <w:sz w:val="20"/>
      </w:rPr>
      <w:t xml:space="preserve"> 2022</w:t>
    </w:r>
    <w:r w:rsidRPr="004A3F58">
      <w:t xml:space="preserve"> </w:t>
    </w:r>
    <w:sdt>
      <w:sdtPr>
        <w:id w:val="855848986"/>
        <w:docPartObj>
          <w:docPartGallery w:val="Page Numbers (Bottom of Page)"/>
          <w:docPartUnique/>
        </w:docPartObj>
      </w:sdtPr>
      <w:sdtEndPr/>
      <w:sdtContent>
        <w:r w:rsidRPr="004A3F58">
          <w:tab/>
        </w:r>
        <w:r w:rsidRPr="004A3F58">
          <w:tab/>
        </w:r>
        <w:r w:rsidR="00265D79">
          <w:fldChar w:fldCharType="begin"/>
        </w:r>
        <w:r w:rsidRPr="004A3F58">
          <w:instrText>PAGE   \* MERGEFORMAT</w:instrText>
        </w:r>
        <w:r w:rsidR="00265D79">
          <w:fldChar w:fldCharType="separate"/>
        </w:r>
        <w:r w:rsidR="00BC7719">
          <w:rPr>
            <w:noProof/>
          </w:rPr>
          <w:t>2</w:t>
        </w:r>
        <w:r w:rsidR="00265D79">
          <w:fldChar w:fldCharType="end"/>
        </w:r>
      </w:sdtContent>
    </w:sdt>
  </w:p>
  <w:p w14:paraId="04ADCF19" w14:textId="77777777" w:rsidR="00125909" w:rsidRDefault="001259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626A" w14:textId="77777777" w:rsidR="008576F1" w:rsidRDefault="008576F1" w:rsidP="00125909">
      <w:r>
        <w:separator/>
      </w:r>
    </w:p>
  </w:footnote>
  <w:footnote w:type="continuationSeparator" w:id="0">
    <w:p w14:paraId="058322A5" w14:textId="77777777" w:rsidR="008576F1" w:rsidRDefault="008576F1" w:rsidP="00125909">
      <w:r>
        <w:continuationSeparator/>
      </w:r>
    </w:p>
  </w:footnote>
  <w:footnote w:id="1">
    <w:p w14:paraId="1B288F88" w14:textId="77777777" w:rsidR="00682BC5" w:rsidRDefault="00682BC5">
      <w:pPr>
        <w:pStyle w:val="Notedebasdepage"/>
      </w:pPr>
      <w:r>
        <w:rPr>
          <w:rStyle w:val="Appelnotedebasdep"/>
        </w:rPr>
        <w:footnoteRef/>
      </w:r>
      <w:r>
        <w:t xml:space="preserve"> </w:t>
      </w:r>
      <w:r w:rsidRPr="00682BC5">
        <w:t xml:space="preserve">Benchmarks </w:t>
      </w:r>
      <w:proofErr w:type="spellStart"/>
      <w:r w:rsidRPr="00682BC5">
        <w:t>Regulation</w:t>
      </w:r>
      <w:proofErr w:type="spellEnd"/>
      <w:r w:rsidRPr="00682BC5">
        <w:t xml:space="preserve"> </w:t>
      </w:r>
      <w:proofErr w:type="spellStart"/>
      <w:r w:rsidRPr="00682BC5">
        <w:t>Regulation</w:t>
      </w:r>
      <w:proofErr w:type="spellEnd"/>
      <w:r w:rsidRPr="00682BC5">
        <w:t xml:space="preserve"> (EU) 2016/1011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2CAD" w14:textId="77777777" w:rsidR="00125909" w:rsidRPr="00FD5BBB" w:rsidRDefault="00125909" w:rsidP="00125909">
    <w:pPr>
      <w:pStyle w:val="En-tte"/>
      <w:jc w:val="center"/>
      <w:rPr>
        <w:b/>
        <w:bCs/>
      </w:rPr>
    </w:pPr>
    <w:r>
      <w:rPr>
        <w:noProof/>
        <w:lang w:eastAsia="fr-FR"/>
      </w:rPr>
      <w:drawing>
        <wp:anchor distT="0" distB="0" distL="114300" distR="114300" simplePos="0" relativeHeight="251659264" behindDoc="1" locked="0" layoutInCell="1" allowOverlap="1" wp14:anchorId="687FA2FA" wp14:editId="039C384D">
          <wp:simplePos x="0" y="0"/>
          <wp:positionH relativeFrom="leftMargin">
            <wp:posOffset>876300</wp:posOffset>
          </wp:positionH>
          <wp:positionV relativeFrom="paragraph">
            <wp:posOffset>0</wp:posOffset>
          </wp:positionV>
          <wp:extent cx="438150" cy="436515"/>
          <wp:effectExtent l="0" t="0" r="0" b="1905"/>
          <wp:wrapTight wrapText="bothSides">
            <wp:wrapPolygon edited="0">
              <wp:start x="0" y="0"/>
              <wp:lineTo x="0" y="20751"/>
              <wp:lineTo x="20661" y="20751"/>
              <wp:lineTo x="2066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6515"/>
                  </a:xfrm>
                  <a:prstGeom prst="rect">
                    <a:avLst/>
                  </a:prstGeom>
                </pic:spPr>
              </pic:pic>
            </a:graphicData>
          </a:graphic>
        </wp:anchor>
      </w:drawing>
    </w:r>
    <w:r w:rsidR="004A3F58" w:rsidRPr="00FD5BBB">
      <w:rPr>
        <w:b/>
        <w:bCs/>
      </w:rPr>
      <w:t>COMITE DE NORMALISATION OBLIGATAIRE</w:t>
    </w:r>
  </w:p>
  <w:p w14:paraId="73B7E65A" w14:textId="77777777" w:rsidR="00125909" w:rsidRPr="00FD5BBB" w:rsidRDefault="00125909" w:rsidP="00125909">
    <w:pPr>
      <w:pStyle w:val="En-tte"/>
      <w:jc w:val="center"/>
      <w:rPr>
        <w:i/>
        <w:iCs/>
      </w:rPr>
    </w:pPr>
    <w:r w:rsidRPr="00FD5BBB">
      <w:rPr>
        <w:i/>
        <w:iCs/>
      </w:rPr>
      <w:t>CNOFRANCE.ORG</w:t>
    </w:r>
  </w:p>
  <w:p w14:paraId="710CF983" w14:textId="77777777" w:rsidR="00125909" w:rsidRPr="00FD5BBB" w:rsidRDefault="00125909" w:rsidP="00125909">
    <w:pPr>
      <w:pStyle w:val="En-tte"/>
    </w:pPr>
  </w:p>
  <w:p w14:paraId="19CD094F" w14:textId="77777777" w:rsidR="00125909" w:rsidRPr="00FD5BBB" w:rsidRDefault="00125909" w:rsidP="00125909">
    <w:r w:rsidRPr="00FD5BBB">
      <w:t xml:space="preserve"> </w:t>
    </w:r>
  </w:p>
  <w:p w14:paraId="69EAD2C5" w14:textId="77777777" w:rsidR="00125909" w:rsidRPr="00FD5BBB" w:rsidRDefault="00125909">
    <w:pPr>
      <w:pStyle w:val="En-tte"/>
    </w:pPr>
  </w:p>
  <w:p w14:paraId="70A4BCCF" w14:textId="77777777" w:rsidR="00125909" w:rsidRPr="00FD5BBB" w:rsidRDefault="001259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826"/>
    <w:multiLevelType w:val="hybridMultilevel"/>
    <w:tmpl w:val="72EE9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BC4A3E"/>
    <w:multiLevelType w:val="hybridMultilevel"/>
    <w:tmpl w:val="F7866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7A4778"/>
    <w:multiLevelType w:val="hybridMultilevel"/>
    <w:tmpl w:val="1C369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677E9A"/>
    <w:multiLevelType w:val="hybridMultilevel"/>
    <w:tmpl w:val="6D16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5909"/>
    <w:rsid w:val="00125909"/>
    <w:rsid w:val="00265D79"/>
    <w:rsid w:val="002B7C8E"/>
    <w:rsid w:val="00322E4E"/>
    <w:rsid w:val="004A3F58"/>
    <w:rsid w:val="004C3036"/>
    <w:rsid w:val="00591448"/>
    <w:rsid w:val="005D001E"/>
    <w:rsid w:val="00666EC6"/>
    <w:rsid w:val="0067473D"/>
    <w:rsid w:val="00682BC5"/>
    <w:rsid w:val="00696090"/>
    <w:rsid w:val="006C5095"/>
    <w:rsid w:val="006E1CFA"/>
    <w:rsid w:val="007F62E6"/>
    <w:rsid w:val="008576F1"/>
    <w:rsid w:val="008F6AC0"/>
    <w:rsid w:val="009B2010"/>
    <w:rsid w:val="009E5F88"/>
    <w:rsid w:val="00AD386A"/>
    <w:rsid w:val="00BC7719"/>
    <w:rsid w:val="00C642D6"/>
    <w:rsid w:val="00C73A27"/>
    <w:rsid w:val="00CD4DCA"/>
    <w:rsid w:val="00CD7BF0"/>
    <w:rsid w:val="00D4260C"/>
    <w:rsid w:val="00E40331"/>
    <w:rsid w:val="00E7166C"/>
    <w:rsid w:val="00E911FB"/>
    <w:rsid w:val="00F37177"/>
    <w:rsid w:val="00F71B28"/>
    <w:rsid w:val="00FD5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3EFB"/>
  <w15:docId w15:val="{D0AB594C-1D26-451C-B8D2-79931F46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vertAlign w:val="superscript"/>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909"/>
    <w:pPr>
      <w:tabs>
        <w:tab w:val="center" w:pos="4536"/>
        <w:tab w:val="right" w:pos="9072"/>
      </w:tabs>
    </w:pPr>
    <w:rPr>
      <w:rFonts w:asciiTheme="minorHAnsi" w:hAnsiTheme="minorHAnsi" w:cstheme="minorBidi"/>
      <w:sz w:val="22"/>
      <w:szCs w:val="22"/>
      <w:vertAlign w:val="baseline"/>
    </w:rPr>
  </w:style>
  <w:style w:type="character" w:customStyle="1" w:styleId="En-tteCar">
    <w:name w:val="En-tête Car"/>
    <w:basedOn w:val="Policepardfaut"/>
    <w:link w:val="En-tte"/>
    <w:uiPriority w:val="99"/>
    <w:rsid w:val="00125909"/>
    <w:rPr>
      <w:rFonts w:asciiTheme="minorHAnsi" w:hAnsiTheme="minorHAnsi" w:cstheme="minorBidi"/>
      <w:sz w:val="22"/>
      <w:szCs w:val="22"/>
      <w:vertAlign w:val="baseline"/>
    </w:rPr>
  </w:style>
  <w:style w:type="paragraph" w:styleId="Pieddepage">
    <w:name w:val="footer"/>
    <w:basedOn w:val="Normal"/>
    <w:link w:val="PieddepageCar"/>
    <w:uiPriority w:val="99"/>
    <w:unhideWhenUsed/>
    <w:rsid w:val="00125909"/>
    <w:pPr>
      <w:tabs>
        <w:tab w:val="center" w:pos="4536"/>
        <w:tab w:val="right" w:pos="9072"/>
      </w:tabs>
    </w:pPr>
  </w:style>
  <w:style w:type="character" w:customStyle="1" w:styleId="PieddepageCar">
    <w:name w:val="Pied de page Car"/>
    <w:basedOn w:val="Policepardfaut"/>
    <w:link w:val="Pieddepage"/>
    <w:uiPriority w:val="99"/>
    <w:rsid w:val="00125909"/>
  </w:style>
  <w:style w:type="character" w:customStyle="1" w:styleId="apple-converted-space">
    <w:name w:val="apple-converted-space"/>
    <w:basedOn w:val="Policepardfaut"/>
    <w:rsid w:val="00125909"/>
  </w:style>
  <w:style w:type="paragraph" w:styleId="Paragraphedeliste">
    <w:name w:val="List Paragraph"/>
    <w:basedOn w:val="Normal"/>
    <w:uiPriority w:val="34"/>
    <w:qFormat/>
    <w:rsid w:val="00125909"/>
    <w:pPr>
      <w:ind w:left="720"/>
      <w:contextualSpacing/>
    </w:pPr>
  </w:style>
  <w:style w:type="paragraph" w:styleId="Notedebasdepage">
    <w:name w:val="footnote text"/>
    <w:basedOn w:val="Normal"/>
    <w:link w:val="NotedebasdepageCar"/>
    <w:uiPriority w:val="99"/>
    <w:semiHidden/>
    <w:unhideWhenUsed/>
    <w:rsid w:val="00682BC5"/>
    <w:rPr>
      <w:sz w:val="20"/>
    </w:rPr>
  </w:style>
  <w:style w:type="character" w:customStyle="1" w:styleId="NotedebasdepageCar">
    <w:name w:val="Note de bas de page Car"/>
    <w:basedOn w:val="Policepardfaut"/>
    <w:link w:val="Notedebasdepage"/>
    <w:uiPriority w:val="99"/>
    <w:semiHidden/>
    <w:rsid w:val="00682BC5"/>
    <w:rPr>
      <w:sz w:val="20"/>
    </w:rPr>
  </w:style>
  <w:style w:type="character" w:styleId="Appelnotedebasdep">
    <w:name w:val="footnote reference"/>
    <w:basedOn w:val="Policepardfaut"/>
    <w:uiPriority w:val="99"/>
    <w:semiHidden/>
    <w:unhideWhenUsed/>
    <w:rsid w:val="00682BC5"/>
    <w:rPr>
      <w:vertAlign w:val="superscript"/>
    </w:rPr>
  </w:style>
  <w:style w:type="character" w:styleId="Textedelespacerserv">
    <w:name w:val="Placeholder Text"/>
    <w:basedOn w:val="Policepardfaut"/>
    <w:uiPriority w:val="99"/>
    <w:semiHidden/>
    <w:rsid w:val="004A3F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28590-16D5-4511-AF7E-A6CD5CDC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850</Words>
  <Characters>4678</Characters>
  <Application>Microsoft Office Word</Application>
  <DocSecurity>0</DocSecurity>
  <Lines>38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Jean-marc Fossorier</dc:creator>
  <cp:lastModifiedBy>Jean-marc Fossorier</cp:lastModifiedBy>
  <cp:revision>4</cp:revision>
  <cp:lastPrinted>2022-03-20T10:42:00Z</cp:lastPrinted>
  <dcterms:created xsi:type="dcterms:W3CDTF">2022-02-06T18:50:00Z</dcterms:created>
  <dcterms:modified xsi:type="dcterms:W3CDTF">2022-03-20T10:42:00Z</dcterms:modified>
</cp:coreProperties>
</file>